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rFonts w:ascii="Arial" w:cs="Arial" w:eastAsia="Arial" w:hAnsi="Arial"/>
          <w:b/>
          <w:bCs/>
          <w:color w:val="2B579A"/>
          <w:sz w:val="36"/>
          <w:szCs w:val="36"/>
        </w:rPr>
        <w:t xml:space="preserve">CONTRATO PRIVADO DE COMPRAVENTA OTC</w:t>
      </w:r>
    </w:p>
    <w:p>
      <w:pPr>
        <w:spacing w:after="400"/>
        <w:jc w:val="center"/>
      </w:pPr>
      <w:r>
        <w:rPr>
          <w:rFonts w:ascii="Arial" w:cs="Arial" w:eastAsia="Arial" w:hAnsi="Arial"/>
          <w:b/>
          <w:bCs/>
          <w:color w:val="2B579A"/>
          <w:sz w:val="36"/>
          <w:szCs w:val="36"/>
        </w:rPr>
        <w:t xml:space="preserve">DE CRIPTOACTIVOS ENTRE PARTICULARES</w:t>
      </w:r>
    </w:p>
    <w:tbl>
      <w:tblPr>
        <w:tblW w:type="dxa" w:w="9306"/>
        <w:tblBorders>
          <w:top w:val="single" w:color="auto" w:sz="4"/>
          <w:left w:val="single" w:color="auto" w:sz="4"/>
          <w:bottom w:val="single" w:color="auto" w:sz="4"/>
          <w:right w:val="single" w:color="auto" w:sz="4"/>
          <w:insideH w:val="single" w:color="auto" w:sz="4"/>
          <w:insideV w:val="single" w:color="auto" w:sz="4"/>
        </w:tblBorders>
      </w:tblPr>
      <w:tblGrid>
        <w:gridCol w:w="9306"/>
      </w:tblGrid>
      <w:tr>
        <w:tc>
          <w:tcPr>
            <w:tcW w:type="dxa" w:w="9306"/>
            <w:tcBorders>
              <w:top w:val="single" w:color="2B579A" w:sz="2"/>
              <w:left w:val="single" w:color="2B579A" w:sz="2"/>
              <w:bottom w:val="single" w:color="2B579A" w:sz="2"/>
              <w:right w:val="single" w:color="2B579A" w:sz="2"/>
            </w:tcBorders>
            <w:shd w:fill="EEF3FA" w:val="clear"/>
            <w:tcMar>
              <w:top w:type="dxa" w:w="120"/>
              <w:left w:type="dxa" w:w="200"/>
              <w:bottom w:type="dxa" w:w="120"/>
              <w:right w:type="dxa" w:w="200"/>
            </w:tcMar>
          </w:tcPr>
          <w:p>
            <w:pPr>
              <w:spacing w:after="60"/>
            </w:pPr>
            <w:r>
              <w:rPr>
                <w:rFonts w:ascii="Arial" w:cs="Arial" w:eastAsia="Arial" w:hAnsi="Arial"/>
                <w:b/>
                <w:bCs/>
                <w:color w:val="2B579A"/>
                <w:sz w:val="20"/>
                <w:szCs w:val="20"/>
              </w:rPr>
              <w:t xml:space="preserve">INSTRUCCIONES: </w:t>
            </w:r>
            <w:r>
              <w:rPr>
                <w:rFonts w:ascii="Arial" w:cs="Arial" w:eastAsia="Arial" w:hAnsi="Arial"/>
                <w:color w:val="333333"/>
                <w:sz w:val="20"/>
                <w:szCs w:val="20"/>
              </w:rPr>
              <w:t xml:space="preserve">Los campos en </w:t>
            </w:r>
            <w:r>
              <w:rPr>
                <w:rFonts w:ascii="Arial" w:cs="Arial" w:eastAsia="Arial" w:hAnsi="Arial"/>
                <w:i/>
                <w:iCs/>
                <w:color w:val="996600"/>
                <w:sz w:val="20"/>
                <w:szCs w:val="20"/>
              </w:rPr>
              <w:t xml:space="preserve">amarillo cursiva</w:t>
            </w:r>
            <w:r>
              <w:rPr>
                <w:rFonts w:ascii="Arial" w:cs="Arial" w:eastAsia="Arial" w:hAnsi="Arial"/>
                <w:color w:val="333333"/>
                <w:sz w:val="20"/>
                <w:szCs w:val="20"/>
              </w:rPr>
              <w:t xml:space="preserve"> deben completarse con los datos reales de la operación. Elimina este recuadro antes de firmar.</w:t>
            </w:r>
          </w:p>
        </w:tc>
      </w:tr>
    </w:tbl>
    <w:p>
      <w:pPr>
        <w:spacing w:after="100"/>
      </w:pPr>
    </w:p>
    <w:p>
      <w:pPr>
        <w:spacing w:after="200" w:before="300"/>
        <w:jc w:val="left"/>
      </w:pPr>
      <w:r>
        <w:rPr>
          <w:rFonts w:ascii="Arial" w:cs="Arial" w:eastAsia="Arial" w:hAnsi="Arial"/>
          <w:b/>
          <w:bCs/>
          <w:sz w:val="28"/>
          <w:szCs w:val="28"/>
        </w:rPr>
        <w:t xml:space="preserve">REUNIDOS</w:t>
      </w:r>
    </w:p>
    <w:p>
      <w:pPr>
        <w:spacing w:after="200"/>
      </w:pPr>
      <w:r>
        <w:rPr>
          <w:rFonts w:ascii="Arial" w:cs="Arial" w:eastAsia="Arial" w:hAnsi="Arial"/>
          <w:sz w:val="22"/>
          <w:szCs w:val="22"/>
        </w:rPr>
        <w:t xml:space="preserve">De una parte, </w:t>
      </w:r>
      <w:r>
        <w:rPr>
          <w:rFonts w:ascii="Arial" w:cs="Arial" w:eastAsia="Arial" w:hAnsi="Arial"/>
          <w:b/>
          <w:bCs/>
          <w:sz w:val="22"/>
          <w:szCs w:val="22"/>
        </w:rPr>
        <w:t xml:space="preserve">D./Dª </w:t>
      </w:r>
      <w:r>
        <w:rPr>
          <w:rFonts w:ascii="Arial" w:cs="Arial" w:eastAsia="Arial" w:hAnsi="Arial"/>
          <w:i/>
          <w:iCs/>
          <w:color w:val="996600"/>
          <w:sz w:val="22"/>
          <w:szCs w:val="22"/>
        </w:rPr>
        <w:t xml:space="preserve">[NOMBRE COMPLETO DEL VENDEDOR]</w:t>
      </w:r>
      <w:r>
        <w:rPr>
          <w:rFonts w:ascii="Arial" w:cs="Arial" w:eastAsia="Arial" w:hAnsi="Arial"/>
          <w:sz w:val="22"/>
          <w:szCs w:val="22"/>
        </w:rPr>
        <w:t xml:space="preserve">, mayor de edad, con domicilio en </w:t>
      </w:r>
      <w:r>
        <w:rPr>
          <w:rFonts w:ascii="Arial" w:cs="Arial" w:eastAsia="Arial" w:hAnsi="Arial"/>
          <w:i/>
          <w:iCs/>
          <w:color w:val="996600"/>
          <w:sz w:val="22"/>
          <w:szCs w:val="22"/>
        </w:rPr>
        <w:t xml:space="preserve">[DIRECCIÓN COMPLETA]</w:t>
      </w:r>
      <w:r>
        <w:rPr>
          <w:rFonts w:ascii="Arial" w:cs="Arial" w:eastAsia="Arial" w:hAnsi="Arial"/>
          <w:sz w:val="22"/>
          <w:szCs w:val="22"/>
        </w:rPr>
        <w:t xml:space="preserve">, y con DNI/NIE/NRT </w:t>
      </w:r>
      <w:r>
        <w:rPr>
          <w:rFonts w:ascii="Arial" w:cs="Arial" w:eastAsia="Arial" w:hAnsi="Arial"/>
          <w:i/>
          <w:iCs/>
          <w:color w:val="996600"/>
          <w:sz w:val="22"/>
          <w:szCs w:val="22"/>
        </w:rPr>
        <w:t xml:space="preserve">[NÚMERO DE DOCUMENTO]</w:t>
      </w:r>
      <w:r>
        <w:rPr>
          <w:rFonts w:ascii="Arial" w:cs="Arial" w:eastAsia="Arial" w:hAnsi="Arial"/>
          <w:sz w:val="22"/>
          <w:szCs w:val="22"/>
        </w:rPr>
        <w:t xml:space="preserve">, en adelante, el </w:t>
      </w:r>
      <w:r>
        <w:rPr>
          <w:rFonts w:ascii="Arial" w:cs="Arial" w:eastAsia="Arial" w:hAnsi="Arial"/>
          <w:b/>
          <w:bCs/>
          <w:sz w:val="22"/>
          <w:szCs w:val="22"/>
        </w:rPr>
        <w:t xml:space="preserve">VENDEDOR</w:t>
      </w:r>
      <w:r>
        <w:rPr>
          <w:rFonts w:ascii="Arial" w:cs="Arial" w:eastAsia="Arial" w:hAnsi="Arial"/>
          <w:sz w:val="22"/>
          <w:szCs w:val="22"/>
        </w:rPr>
        <w:t xml:space="preserve">.</w:t>
      </w:r>
    </w:p>
    <w:p>
      <w:pPr>
        <w:spacing w:after="200"/>
      </w:pPr>
      <w:r>
        <w:rPr>
          <w:rFonts w:ascii="Arial" w:cs="Arial" w:eastAsia="Arial" w:hAnsi="Arial"/>
          <w:sz w:val="22"/>
          <w:szCs w:val="22"/>
        </w:rPr>
        <w:t xml:space="preserve">Y de otra parte, </w:t>
      </w:r>
      <w:r>
        <w:rPr>
          <w:rFonts w:ascii="Arial" w:cs="Arial" w:eastAsia="Arial" w:hAnsi="Arial"/>
          <w:b/>
          <w:bCs/>
          <w:sz w:val="22"/>
          <w:szCs w:val="22"/>
        </w:rPr>
        <w:t xml:space="preserve">D./Dª </w:t>
      </w:r>
      <w:r>
        <w:rPr>
          <w:rFonts w:ascii="Arial" w:cs="Arial" w:eastAsia="Arial" w:hAnsi="Arial"/>
          <w:i/>
          <w:iCs/>
          <w:color w:val="996600"/>
          <w:sz w:val="22"/>
          <w:szCs w:val="22"/>
        </w:rPr>
        <w:t xml:space="preserve">[NOMBRE COMPLETO DEL COMPRADOR]</w:t>
      </w:r>
      <w:r>
        <w:rPr>
          <w:rFonts w:ascii="Arial" w:cs="Arial" w:eastAsia="Arial" w:hAnsi="Arial"/>
          <w:sz w:val="22"/>
          <w:szCs w:val="22"/>
        </w:rPr>
        <w:t xml:space="preserve">, mayor de edad, con domicilio en </w:t>
      </w:r>
      <w:r>
        <w:rPr>
          <w:rFonts w:ascii="Arial" w:cs="Arial" w:eastAsia="Arial" w:hAnsi="Arial"/>
          <w:i/>
          <w:iCs/>
          <w:color w:val="996600"/>
          <w:sz w:val="22"/>
          <w:szCs w:val="22"/>
        </w:rPr>
        <w:t xml:space="preserve">[DIRECCIÓN COMPLETA]</w:t>
      </w:r>
      <w:r>
        <w:rPr>
          <w:rFonts w:ascii="Arial" w:cs="Arial" w:eastAsia="Arial" w:hAnsi="Arial"/>
          <w:sz w:val="22"/>
          <w:szCs w:val="22"/>
        </w:rPr>
        <w:t xml:space="preserve">, y con DNI/NIE/NRT </w:t>
      </w:r>
      <w:r>
        <w:rPr>
          <w:rFonts w:ascii="Arial" w:cs="Arial" w:eastAsia="Arial" w:hAnsi="Arial"/>
          <w:i/>
          <w:iCs/>
          <w:color w:val="996600"/>
          <w:sz w:val="22"/>
          <w:szCs w:val="22"/>
        </w:rPr>
        <w:t xml:space="preserve">[NÚMERO DE DOCUMENTO]</w:t>
      </w:r>
      <w:r>
        <w:rPr>
          <w:rFonts w:ascii="Arial" w:cs="Arial" w:eastAsia="Arial" w:hAnsi="Arial"/>
          <w:sz w:val="22"/>
          <w:szCs w:val="22"/>
        </w:rPr>
        <w:t xml:space="preserve">, en adelante, el </w:t>
      </w:r>
      <w:r>
        <w:rPr>
          <w:rFonts w:ascii="Arial" w:cs="Arial" w:eastAsia="Arial" w:hAnsi="Arial"/>
          <w:b/>
          <w:bCs/>
          <w:sz w:val="22"/>
          <w:szCs w:val="22"/>
        </w:rPr>
        <w:t xml:space="preserve">COMPRADOR</w:t>
      </w:r>
      <w:r>
        <w:rPr>
          <w:rFonts w:ascii="Arial" w:cs="Arial" w:eastAsia="Arial" w:hAnsi="Arial"/>
          <w:sz w:val="22"/>
          <w:szCs w:val="22"/>
        </w:rPr>
        <w:t xml:space="preserve">.</w:t>
      </w:r>
    </w:p>
    <w:p>
      <w:pPr>
        <w:spacing w:after="300"/>
      </w:pPr>
      <w:r>
        <w:rPr>
          <w:rFonts w:ascii="Arial" w:cs="Arial" w:eastAsia="Arial" w:hAnsi="Arial"/>
          <w:sz w:val="22"/>
          <w:szCs w:val="22"/>
        </w:rPr>
        <w:t xml:space="preserve">Ambas partes se reconocen mutuamente la capacidad legal necesaria para suscribir el presente contrato y, a tal efecto,</w:t>
      </w:r>
    </w:p>
    <w:p>
      <w:pPr>
        <w:spacing w:after="200" w:before="200"/>
      </w:pPr>
      <w:r>
        <w:rPr>
          <w:rFonts w:ascii="Arial" w:cs="Arial" w:eastAsia="Arial" w:hAnsi="Arial"/>
          <w:b/>
          <w:bCs/>
          <w:sz w:val="28"/>
          <w:szCs w:val="28"/>
        </w:rPr>
        <w:t xml:space="preserve">EXPONEN</w:t>
      </w:r>
    </w:p>
    <w:p>
      <w:pPr>
        <w:spacing w:after="160"/>
      </w:pPr>
      <w:r>
        <w:rPr>
          <w:rFonts w:ascii="Arial" w:cs="Arial" w:eastAsia="Arial" w:hAnsi="Arial"/>
          <w:b/>
          <w:bCs/>
          <w:sz w:val="22"/>
          <w:szCs w:val="22"/>
        </w:rPr>
        <w:t xml:space="preserve">I. </w:t>
      </w:r>
      <w:r>
        <w:rPr>
          <w:rFonts w:ascii="Arial" w:cs="Arial" w:eastAsia="Arial" w:hAnsi="Arial"/>
          <w:sz w:val="22"/>
          <w:szCs w:val="22"/>
        </w:rPr>
        <w:t xml:space="preserve">Que el VENDEDOR es titular legítimo de los siguientes criptoactivos, almacenados en monedero digital (wallet) de su exclusiva titularidad:</w:t>
      </w:r>
    </w:p>
    <w:tbl>
      <w:tblPr>
        <w:tblW w:type="dxa" w:w="9306"/>
        <w:tblBorders>
          <w:top w:val="single" w:color="auto" w:sz="4"/>
          <w:left w:val="single" w:color="auto" w:sz="4"/>
          <w:bottom w:val="single" w:color="auto" w:sz="4"/>
          <w:right w:val="single" w:color="auto" w:sz="4"/>
          <w:insideH w:val="single" w:color="auto" w:sz="4"/>
          <w:insideV w:val="single" w:color="auto" w:sz="4"/>
        </w:tblBorders>
      </w:tblPr>
      <w:tblGrid>
        <w:gridCol w:w="2800"/>
        <w:gridCol w:w="2200"/>
        <w:gridCol w:w="2200"/>
        <w:gridCol w:w="2106"/>
      </w:tblGrid>
      <w:tr>
        <w:tc>
          <w:tcPr>
            <w:tcW w:type="dxa" w:w="2800"/>
            <w:tcBorders>
              <w:top w:val="single" w:color="999999" w:sz="1"/>
              <w:left w:val="single" w:color="999999" w:sz="1"/>
              <w:bottom w:val="single" w:color="999999" w:sz="1"/>
              <w:right w:val="single" w:color="999999" w:sz="1"/>
            </w:tcBorders>
            <w:shd w:fill="2B579A" w:val="clear"/>
            <w:tcMar>
              <w:top w:type="dxa" w:w="60"/>
              <w:left w:type="dxa" w:w="100"/>
              <w:bottom w:type="dxa" w:w="60"/>
              <w:right w:type="dxa" w:w="100"/>
            </w:tcMar>
            <w:vAlign w:val="center"/>
          </w:tcPr>
          <w:p>
            <w:pPr>
              <w:jc w:val="left"/>
            </w:pPr>
            <w:r>
              <w:rPr>
                <w:rFonts w:ascii="Arial" w:cs="Arial" w:eastAsia="Arial" w:hAnsi="Arial"/>
                <w:b/>
                <w:bCs/>
                <w:color w:val="FFFFFF"/>
                <w:sz w:val="20"/>
                <w:szCs w:val="20"/>
              </w:rPr>
              <w:t xml:space="preserve">Token</w:t>
            </w:r>
          </w:p>
        </w:tc>
        <w:tc>
          <w:tcPr>
            <w:tcW w:type="dxa" w:w="2200"/>
            <w:tcBorders>
              <w:top w:val="single" w:color="999999" w:sz="1"/>
              <w:left w:val="single" w:color="999999" w:sz="1"/>
              <w:bottom w:val="single" w:color="999999" w:sz="1"/>
              <w:right w:val="single" w:color="999999" w:sz="1"/>
            </w:tcBorders>
            <w:shd w:fill="2B579A" w:val="clear"/>
            <w:tcMar>
              <w:top w:type="dxa" w:w="60"/>
              <w:left w:type="dxa" w:w="100"/>
              <w:bottom w:type="dxa" w:w="60"/>
              <w:right w:type="dxa" w:w="100"/>
            </w:tcMar>
            <w:vAlign w:val="center"/>
          </w:tcPr>
          <w:p>
            <w:pPr>
              <w:jc w:val="left"/>
            </w:pPr>
            <w:r>
              <w:rPr>
                <w:rFonts w:ascii="Arial" w:cs="Arial" w:eastAsia="Arial" w:hAnsi="Arial"/>
                <w:b/>
                <w:bCs/>
                <w:color w:val="FFFFFF"/>
                <w:sz w:val="20"/>
                <w:szCs w:val="20"/>
              </w:rPr>
              <w:t xml:space="preserve">Cantidad</w:t>
            </w:r>
          </w:p>
        </w:tc>
        <w:tc>
          <w:tcPr>
            <w:tcW w:type="dxa" w:w="2200"/>
            <w:tcBorders>
              <w:top w:val="single" w:color="999999" w:sz="1"/>
              <w:left w:val="single" w:color="999999" w:sz="1"/>
              <w:bottom w:val="single" w:color="999999" w:sz="1"/>
              <w:right w:val="single" w:color="999999" w:sz="1"/>
            </w:tcBorders>
            <w:shd w:fill="2B579A" w:val="clear"/>
            <w:tcMar>
              <w:top w:type="dxa" w:w="60"/>
              <w:left w:type="dxa" w:w="100"/>
              <w:bottom w:type="dxa" w:w="60"/>
              <w:right w:type="dxa" w:w="100"/>
            </w:tcMar>
            <w:vAlign w:val="center"/>
          </w:tcPr>
          <w:p>
            <w:pPr>
              <w:jc w:val="left"/>
            </w:pPr>
            <w:r>
              <w:rPr>
                <w:rFonts w:ascii="Arial" w:cs="Arial" w:eastAsia="Arial" w:hAnsi="Arial"/>
                <w:b/>
                <w:bCs/>
                <w:color w:val="FFFFFF"/>
                <w:sz w:val="20"/>
                <w:szCs w:val="20"/>
              </w:rPr>
              <w:t xml:space="preserve">Red blockchain</w:t>
            </w:r>
          </w:p>
        </w:tc>
        <w:tc>
          <w:tcPr>
            <w:tcW w:type="dxa" w:w="2106"/>
            <w:tcBorders>
              <w:top w:val="single" w:color="999999" w:sz="1"/>
              <w:left w:val="single" w:color="999999" w:sz="1"/>
              <w:bottom w:val="single" w:color="999999" w:sz="1"/>
              <w:right w:val="single" w:color="999999" w:sz="1"/>
            </w:tcBorders>
            <w:shd w:fill="2B579A" w:val="clear"/>
            <w:tcMar>
              <w:top w:type="dxa" w:w="60"/>
              <w:left w:type="dxa" w:w="100"/>
              <w:bottom w:type="dxa" w:w="60"/>
              <w:right w:type="dxa" w:w="100"/>
            </w:tcMar>
            <w:vAlign w:val="center"/>
          </w:tcPr>
          <w:p>
            <w:pPr>
              <w:jc w:val="left"/>
            </w:pPr>
            <w:r>
              <w:rPr>
                <w:rFonts w:ascii="Arial" w:cs="Arial" w:eastAsia="Arial" w:hAnsi="Arial"/>
                <w:b/>
                <w:bCs/>
                <w:color w:val="FFFFFF"/>
                <w:sz w:val="20"/>
                <w:szCs w:val="20"/>
              </w:rPr>
              <w:t xml:space="preserve">Contrato del token</w:t>
            </w:r>
          </w:p>
        </w:tc>
      </w:tr>
      <w:tr>
        <w:tc>
          <w:tcPr>
            <w:tcW w:type="dxa" w:w="2800"/>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[Nombre del token]</w:t>
            </w:r>
          </w:p>
        </w:tc>
        <w:tc>
          <w:tcPr>
            <w:tcW w:type="dxa" w:w="2200"/>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[Cantidad exacta]</w:t>
            </w:r>
          </w:p>
        </w:tc>
        <w:tc>
          <w:tcPr>
            <w:tcW w:type="dxa" w:w="2200"/>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[Ej: BSC, Ethereum]</w:t>
            </w:r>
          </w:p>
        </w:tc>
        <w:tc>
          <w:tcPr>
            <w:tcW w:type="dxa" w:w="2106"/>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[Dir. contrato del token]</w:t>
            </w:r>
          </w:p>
        </w:tc>
      </w:tr>
      <w:tr>
        <w:tc>
          <w:tcPr>
            <w:tcW w:type="dxa" w:w="2800"/>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[Nombre del token]</w:t>
            </w:r>
          </w:p>
        </w:tc>
        <w:tc>
          <w:tcPr>
            <w:tcW w:type="dxa" w:w="2200"/>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[Cantidad exacta]</w:t>
            </w:r>
          </w:p>
        </w:tc>
        <w:tc>
          <w:tcPr>
            <w:tcW w:type="dxa" w:w="2200"/>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[Ej: BSC, Ethereum]</w:t>
            </w:r>
          </w:p>
        </w:tc>
        <w:tc>
          <w:tcPr>
            <w:tcW w:type="dxa" w:w="2106"/>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[Dir. contrato del token]</w:t>
            </w:r>
          </w:p>
        </w:tc>
      </w:tr>
    </w:tbl>
    <w:p>
      <w:pPr>
        <w:spacing w:after="100"/>
      </w:pPr>
    </w:p>
    <w:p>
      <w:pPr>
        <w:spacing w:after="160"/>
      </w:pPr>
      <w:r>
        <w:rPr>
          <w:rFonts w:ascii="Arial" w:cs="Arial" w:eastAsia="Arial" w:hAnsi="Arial"/>
          <w:b/>
          <w:bCs/>
          <w:sz w:val="22"/>
          <w:szCs w:val="22"/>
        </w:rPr>
        <w:t xml:space="preserve">II. </w:t>
      </w:r>
      <w:r>
        <w:rPr>
          <w:rFonts w:ascii="Arial" w:cs="Arial" w:eastAsia="Arial" w:hAnsi="Arial"/>
          <w:sz w:val="22"/>
          <w:szCs w:val="22"/>
        </w:rPr>
        <w:t xml:space="preserve">Que </w:t>
      </w:r>
      <w:r>
        <w:rPr>
          <w:rFonts w:ascii="Arial" w:cs="Arial" w:eastAsia="Arial" w:hAnsi="Arial"/>
          <w:b/>
          <w:bCs/>
          <w:sz w:val="22"/>
          <w:szCs w:val="22"/>
        </w:rPr>
        <w:t xml:space="preserve">ambas partes</w:t>
      </w:r>
      <w:r>
        <w:rPr>
          <w:rFonts w:ascii="Arial" w:cs="Arial" w:eastAsia="Arial" w:hAnsi="Arial"/>
          <w:sz w:val="22"/>
          <w:szCs w:val="22"/>
        </w:rPr>
        <w:t xml:space="preserve"> declaran haber comprobado, a la fecha de firma del presente contrato, que los activos descritos en el Expositivo I </w:t>
      </w:r>
      <w:r>
        <w:rPr>
          <w:rFonts w:ascii="Arial" w:cs="Arial" w:eastAsia="Arial" w:hAnsi="Arial"/>
          <w:b/>
          <w:bCs/>
          <w:sz w:val="22"/>
          <w:szCs w:val="22"/>
        </w:rPr>
        <w:t xml:space="preserve">carecen de mercado secundario líquido</w:t>
      </w:r>
      <w:r>
        <w:rPr>
          <w:rFonts w:ascii="Arial" w:cs="Arial" w:eastAsia="Arial" w:hAnsi="Arial"/>
          <w:sz w:val="22"/>
          <w:szCs w:val="22"/>
        </w:rPr>
        <w:t xml:space="preserve">: no se encuentran listados en ninguna plataforma de intercambio centralizada, ni disponen de pool de liquidez operativo en protocolos descentralizados. Asimismo, el VENDEDOR declara haber </w:t>
      </w:r>
      <w:r>
        <w:rPr>
          <w:rFonts w:ascii="Arial" w:cs="Arial" w:eastAsia="Arial" w:hAnsi="Arial"/>
          <w:b/>
          <w:bCs/>
          <w:sz w:val="22"/>
          <w:szCs w:val="22"/>
        </w:rPr>
        <w:t xml:space="preserve">intentado previamente la enajenación de los activos a través de los canales habituales de mercado</w:t>
      </w:r>
      <w:r>
        <w:rPr>
          <w:rFonts w:ascii="Arial" w:cs="Arial" w:eastAsia="Arial" w:hAnsi="Arial"/>
          <w:sz w:val="22"/>
          <w:szCs w:val="22"/>
        </w:rPr>
        <w:t xml:space="preserve"> sin éxito, debido a la ausencia total de profundidad de mercado, demanda y liquidez. En consecuencia, ambas partes reconocen que </w:t>
      </w:r>
      <w:r>
        <w:rPr>
          <w:rFonts w:ascii="Arial" w:cs="Arial" w:eastAsia="Arial" w:hAnsi="Arial"/>
          <w:b/>
          <w:bCs/>
          <w:sz w:val="22"/>
          <w:szCs w:val="22"/>
        </w:rPr>
        <w:t xml:space="preserve">no existe un precio de mercado de referencia</w:t>
      </w:r>
      <w:r>
        <w:rPr>
          <w:rFonts w:ascii="Arial" w:cs="Arial" w:eastAsia="Arial" w:hAnsi="Arial"/>
          <w:sz w:val="22"/>
          <w:szCs w:val="22"/>
        </w:rPr>
        <w:t xml:space="preserve"> para su valoración, y que el precio pactado en este contrato constituye el único posible dada la total ausencia de demanda.</w:t>
      </w:r>
    </w:p>
    <w:p>
      <w:pPr>
        <w:spacing w:after="160"/>
      </w:pPr>
      <w:r>
        <w:rPr>
          <w:rFonts w:ascii="Arial" w:cs="Arial" w:eastAsia="Arial" w:hAnsi="Arial"/>
          <w:sz w:val="22"/>
          <w:szCs w:val="22"/>
        </w:rPr>
        <w:t xml:space="preserve">Para acreditar lo anterior, ambas partes declaran haber consultado conjuntamente las siguientes fuentes públicas, verificando la ausencia de mercado y liquidez:</w:t>
      </w:r>
    </w:p>
    <w:tbl>
      <w:tblPr>
        <w:tblW w:type="dxa" w:w="9306"/>
        <w:tblBorders>
          <w:top w:val="single" w:color="auto" w:sz="4"/>
          <w:left w:val="single" w:color="auto" w:sz="4"/>
          <w:bottom w:val="single" w:color="auto" w:sz="4"/>
          <w:right w:val="single" w:color="auto" w:sz="4"/>
          <w:insideH w:val="single" w:color="auto" w:sz="4"/>
          <w:insideV w:val="single" w:color="auto" w:sz="4"/>
        </w:tblBorders>
      </w:tblPr>
      <w:tblGrid>
        <w:gridCol w:w="2600"/>
        <w:gridCol w:w="3400"/>
        <w:gridCol w:w="3306"/>
      </w:tblGrid>
      <w:tr>
        <w:tc>
          <w:tcPr>
            <w:tcW w:type="dxa" w:w="2600"/>
            <w:tcBorders>
              <w:top w:val="single" w:color="999999" w:sz="1"/>
              <w:left w:val="single" w:color="999999" w:sz="1"/>
              <w:bottom w:val="single" w:color="999999" w:sz="1"/>
              <w:right w:val="single" w:color="999999" w:sz="1"/>
            </w:tcBorders>
            <w:shd w:fill="2B579A" w:val="clear"/>
            <w:tcMar>
              <w:top w:type="dxa" w:w="60"/>
              <w:left w:type="dxa" w:w="100"/>
              <w:bottom w:type="dxa" w:w="60"/>
              <w:right w:type="dxa" w:w="100"/>
            </w:tcMar>
            <w:vAlign w:val="center"/>
          </w:tcPr>
          <w:p>
            <w:pPr>
              <w:jc w:val="left"/>
            </w:pPr>
            <w:r>
              <w:rPr>
                <w:rFonts w:ascii="Arial" w:cs="Arial" w:eastAsia="Arial" w:hAnsi="Arial"/>
                <w:b/>
                <w:bCs/>
                <w:color w:val="FFFFFF"/>
                <w:sz w:val="20"/>
                <w:szCs w:val="20"/>
              </w:rPr>
              <w:t xml:space="preserve">Fuente consultada</w:t>
            </w:r>
          </w:p>
        </w:tc>
        <w:tc>
          <w:tcPr>
            <w:tcW w:type="dxa" w:w="3400"/>
            <w:tcBorders>
              <w:top w:val="single" w:color="999999" w:sz="1"/>
              <w:left w:val="single" w:color="999999" w:sz="1"/>
              <w:bottom w:val="single" w:color="999999" w:sz="1"/>
              <w:right w:val="single" w:color="999999" w:sz="1"/>
            </w:tcBorders>
            <w:shd w:fill="2B579A" w:val="clear"/>
            <w:tcMar>
              <w:top w:type="dxa" w:w="60"/>
              <w:left w:type="dxa" w:w="100"/>
              <w:bottom w:type="dxa" w:w="60"/>
              <w:right w:type="dxa" w:w="100"/>
            </w:tcMar>
            <w:vAlign w:val="center"/>
          </w:tcPr>
          <w:p>
            <w:pPr>
              <w:jc w:val="left"/>
            </w:pPr>
            <w:r>
              <w:rPr>
                <w:rFonts w:ascii="Arial" w:cs="Arial" w:eastAsia="Arial" w:hAnsi="Arial"/>
                <w:b/>
                <w:bCs/>
                <w:color w:val="FFFFFF"/>
                <w:sz w:val="20"/>
                <w:szCs w:val="20"/>
              </w:rPr>
              <w:t xml:space="preserve">Resultado obtenido</w:t>
            </w:r>
          </w:p>
        </w:tc>
        <w:tc>
          <w:tcPr>
            <w:tcW w:type="dxa" w:w="3306"/>
            <w:tcBorders>
              <w:top w:val="single" w:color="999999" w:sz="1"/>
              <w:left w:val="single" w:color="999999" w:sz="1"/>
              <w:bottom w:val="single" w:color="999999" w:sz="1"/>
              <w:right w:val="single" w:color="999999" w:sz="1"/>
            </w:tcBorders>
            <w:shd w:fill="2B579A" w:val="clear"/>
            <w:tcMar>
              <w:top w:type="dxa" w:w="60"/>
              <w:left w:type="dxa" w:w="100"/>
              <w:bottom w:type="dxa" w:w="60"/>
              <w:right w:type="dxa" w:w="100"/>
            </w:tcMar>
            <w:vAlign w:val="center"/>
          </w:tcPr>
          <w:p>
            <w:pPr>
              <w:jc w:val="left"/>
            </w:pPr>
            <w:r>
              <w:rPr>
                <w:rFonts w:ascii="Arial" w:cs="Arial" w:eastAsia="Arial" w:hAnsi="Arial"/>
                <w:b/>
                <w:bCs/>
                <w:color w:val="FFFFFF"/>
                <w:sz w:val="20"/>
                <w:szCs w:val="20"/>
              </w:rPr>
              <w:t xml:space="preserve">URL o referencia</w:t>
            </w:r>
          </w:p>
        </w:tc>
      </w:tr>
      <w:tr>
        <w:tc>
          <w:tcPr>
            <w:tcW w:type="dxa" w:w="2600"/>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[Ej: DexScreener]</w:t>
            </w:r>
          </w:p>
        </w:tc>
        <w:tc>
          <w:tcPr>
            <w:tcW w:type="dxa" w:w="3400"/>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[Ej: Sin pools de liquidez activos]</w:t>
            </w:r>
          </w:p>
        </w:tc>
        <w:tc>
          <w:tcPr>
            <w:tcW w:type="dxa" w:w="3306"/>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[URL de la consulta]</w:t>
            </w:r>
          </w:p>
        </w:tc>
      </w:tr>
      <w:tr>
        <w:tc>
          <w:tcPr>
            <w:tcW w:type="dxa" w:w="2600"/>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[Ej: CoinMarketCap]</w:t>
            </w:r>
          </w:p>
        </w:tc>
        <w:tc>
          <w:tcPr>
            <w:tcW w:type="dxa" w:w="3400"/>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[Ej: Precio N/A, sin mercados]</w:t>
            </w:r>
          </w:p>
        </w:tc>
        <w:tc>
          <w:tcPr>
            <w:tcW w:type="dxa" w:w="3306"/>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[URL de la consulta]</w:t>
            </w:r>
          </w:p>
        </w:tc>
      </w:tr>
      <w:tr>
        <w:tc>
          <w:tcPr>
            <w:tcW w:type="dxa" w:w="2600"/>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[Ej: Etherscan/BscScan]</w:t>
            </w:r>
          </w:p>
        </w:tc>
        <w:tc>
          <w:tcPr>
            <w:tcW w:type="dxa" w:w="3400"/>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[Ej: Contrato sin actividad]</w:t>
            </w:r>
          </w:p>
        </w:tc>
        <w:tc>
          <w:tcPr>
            <w:tcW w:type="dxa" w:w="3306"/>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[URL de la consulta]</w:t>
            </w:r>
          </w:p>
        </w:tc>
      </w:tr>
      <w:tr>
        <w:tc>
          <w:tcPr>
            <w:tcW w:type="dxa" w:w="2600"/>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[Otra fuente]</w:t>
            </w:r>
          </w:p>
        </w:tc>
        <w:tc>
          <w:tcPr>
            <w:tcW w:type="dxa" w:w="3400"/>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[Resultado]</w:t>
            </w:r>
          </w:p>
        </w:tc>
        <w:tc>
          <w:tcPr>
            <w:tcW w:type="dxa" w:w="3306"/>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[URL]</w:t>
            </w:r>
          </w:p>
        </w:tc>
      </w:tr>
    </w:tbl>
    <w:p>
      <w:pPr>
        <w:spacing w:after="160" w:before="100"/>
      </w:pPr>
      <w:r>
        <w:rPr>
          <w:rFonts w:ascii="Arial" w:cs="Arial" w:eastAsia="Arial" w:hAnsi="Arial"/>
          <w:i/>
          <w:iCs/>
          <w:sz w:val="20"/>
          <w:szCs w:val="20"/>
        </w:rPr>
        <w:t xml:space="preserve">Se recomienda adjuntar capturas de pantalla de las consultas anteriores, fechadas el día de la firma, como prueba documental complementaria.</w:t>
      </w:r>
    </w:p>
    <w:p>
      <w:pPr>
        <w:spacing w:after="160"/>
      </w:pPr>
      <w:r>
        <w:rPr>
          <w:rFonts w:ascii="Arial" w:cs="Arial" w:eastAsia="Arial" w:hAnsi="Arial"/>
          <w:b/>
          <w:bCs/>
          <w:sz w:val="22"/>
          <w:szCs w:val="22"/>
        </w:rPr>
        <w:t xml:space="preserve">III. </w:t>
      </w:r>
      <w:r>
        <w:rPr>
          <w:rFonts w:ascii="Arial" w:cs="Arial" w:eastAsia="Arial" w:hAnsi="Arial"/>
          <w:sz w:val="22"/>
          <w:szCs w:val="22"/>
        </w:rPr>
        <w:t xml:space="preserve">Que la presente operación responde a un </w:t>
      </w:r>
      <w:r>
        <w:rPr>
          <w:rFonts w:ascii="Arial" w:cs="Arial" w:eastAsia="Arial" w:hAnsi="Arial"/>
          <w:b/>
          <w:bCs/>
          <w:sz w:val="22"/>
          <w:szCs w:val="22"/>
        </w:rPr>
        <w:t xml:space="preserve">propósito económico real y legítimo</w:t>
      </w:r>
      <w:r>
        <w:rPr>
          <w:rFonts w:ascii="Arial" w:cs="Arial" w:eastAsia="Arial" w:hAnsi="Arial"/>
          <w:sz w:val="22"/>
          <w:szCs w:val="22"/>
        </w:rPr>
        <w:t xml:space="preserve"> para ambas partes. El VENDEDOR desea desprenderse definitivamente de activos fallidos para simplificar la gestión de su cartera y sanear su posición patrimonial. El COMPRADOR, por su parte, adquiere los activos bajo una tesis de inversión de </w:t>
      </w:r>
      <w:r>
        <w:rPr>
          <w:rFonts w:ascii="Arial" w:cs="Arial" w:eastAsia="Arial" w:hAnsi="Arial"/>
          <w:b/>
          <w:bCs/>
          <w:sz w:val="22"/>
          <w:szCs w:val="22"/>
        </w:rPr>
        <w:t xml:space="preserve">alto riesgo</w:t>
      </w:r>
      <w:r>
        <w:rPr>
          <w:rFonts w:ascii="Arial" w:cs="Arial" w:eastAsia="Arial" w:hAnsi="Arial"/>
          <w:sz w:val="22"/>
          <w:szCs w:val="22"/>
        </w:rPr>
        <w:t xml:space="preserve"> a largo plazo, asumiendo la posibilidad cierta de que el activo no recupere valor alguno en el futuro.</w:t>
      </w:r>
    </w:p>
    <w:p>
      <w:pPr>
        <w:spacing w:after="160"/>
      </w:pPr>
      <w:r>
        <w:rPr>
          <w:rFonts w:ascii="Arial" w:cs="Arial" w:eastAsia="Arial" w:hAnsi="Arial"/>
          <w:b/>
          <w:bCs/>
          <w:sz w:val="22"/>
          <w:szCs w:val="22"/>
        </w:rPr>
        <w:t xml:space="preserve">IV. </w:t>
      </w:r>
      <w:r>
        <w:rPr>
          <w:rFonts w:ascii="Arial" w:cs="Arial" w:eastAsia="Arial" w:hAnsi="Arial"/>
          <w:sz w:val="22"/>
          <w:szCs w:val="22"/>
        </w:rPr>
        <w:t xml:space="preserve">Que el COMPRADOR es plenamente consciente de la ausencia de liquidez, del riesgo de pérdida total del importe abonado y de que el VENDEDOR no ofrece garantía alguna sobre la valoración presente o futura, utilidad, ni compromiso de recompra.</w:t>
      </w:r>
    </w:p>
    <w:p>
      <w:pPr>
        <w:spacing w:after="160"/>
      </w:pPr>
      <w:r>
        <w:rPr>
          <w:rFonts w:ascii="Arial" w:cs="Arial" w:eastAsia="Arial" w:hAnsi="Arial"/>
          <w:b/>
          <w:bCs/>
          <w:sz w:val="22"/>
          <w:szCs w:val="22"/>
        </w:rPr>
        <w:t xml:space="preserve">V. </w:t>
      </w:r>
      <w:r>
        <w:rPr>
          <w:rFonts w:ascii="Arial" w:cs="Arial" w:eastAsia="Arial" w:hAnsi="Arial"/>
          <w:sz w:val="22"/>
          <w:szCs w:val="22"/>
        </w:rPr>
        <w:t xml:space="preserve">Que ambas partes declaran expresamente que </w:t>
      </w:r>
      <w:r>
        <w:rPr>
          <w:rFonts w:ascii="Arial" w:cs="Arial" w:eastAsia="Arial" w:hAnsi="Arial"/>
          <w:b/>
          <w:bCs/>
          <w:sz w:val="22"/>
          <w:szCs w:val="22"/>
        </w:rPr>
        <w:t xml:space="preserve">no existe entre ellas ningún vínculo de parentesco, afinidad, consanguinidad (hasta tercer grado), ni relación societaria o de dependencia económica</w:t>
      </w:r>
      <w:r>
        <w:rPr>
          <w:rFonts w:ascii="Arial" w:cs="Arial" w:eastAsia="Arial" w:hAnsi="Arial"/>
          <w:sz w:val="22"/>
          <w:szCs w:val="22"/>
        </w:rPr>
        <w:t xml:space="preserve"> de las contempladas en el artículo 18 de la Ley 27/2014, de 27 de noviembre, del Impuesto sobre Sociedades. La operación se realiza entre partes plenamente independientes y en condiciones de libre mercado.</w:t>
      </w:r>
    </w:p>
    <w:p>
      <w:pPr>
        <w:spacing w:after="300"/>
      </w:pPr>
      <w:r>
        <w:rPr>
          <w:rFonts w:ascii="Arial" w:cs="Arial" w:eastAsia="Arial" w:hAnsi="Arial"/>
          <w:b/>
          <w:bCs/>
          <w:sz w:val="22"/>
          <w:szCs w:val="22"/>
        </w:rPr>
        <w:t xml:space="preserve">VI. </w:t>
      </w:r>
      <w:r>
        <w:rPr>
          <w:rFonts w:ascii="Arial" w:cs="Arial" w:eastAsia="Arial" w:hAnsi="Arial"/>
          <w:sz w:val="22"/>
          <w:szCs w:val="22"/>
        </w:rPr>
        <w:t xml:space="preserve">Que ambas partes acuerdan ejecutar la operación íntegramente a través de la cadena de bloques (blockchain) que se indica en la tabla anterior, garantizando la trazabilidad pública de la transmisión.</w:t>
      </w:r>
    </w:p>
    <w:p>
      <w:pPr>
        <w:spacing w:after="200" w:before="200"/>
      </w:pPr>
      <w:r>
        <w:rPr>
          <w:rFonts w:ascii="Arial" w:cs="Arial" w:eastAsia="Arial" w:hAnsi="Arial"/>
          <w:b/>
          <w:bCs/>
          <w:sz w:val="28"/>
          <w:szCs w:val="28"/>
        </w:rPr>
        <w:t xml:space="preserve">ACUERDAN</w:t>
      </w:r>
    </w:p>
    <w:p>
      <w:pPr>
        <w:spacing w:after="200"/>
      </w:pPr>
      <w:r>
        <w:rPr>
          <w:rFonts w:ascii="Arial" w:cs="Arial" w:eastAsia="Arial" w:hAnsi="Arial"/>
          <w:sz w:val="22"/>
          <w:szCs w:val="22"/>
        </w:rPr>
        <w:t xml:space="preserve">Mediante el presente contrato, las partes pactan las siguientes cláusulas:</w:t>
      </w:r>
    </w:p>
    <w:p>
      <w:pPr>
        <w:spacing w:after="160" w:before="240"/>
      </w:pPr>
      <w:r>
        <w:rPr>
          <w:rFonts w:ascii="Arial" w:cs="Arial" w:eastAsia="Arial" w:hAnsi="Arial"/>
          <w:b/>
          <w:bCs/>
          <w:color w:val="2B579A"/>
          <w:sz w:val="24"/>
          <w:szCs w:val="24"/>
        </w:rPr>
        <w:t xml:space="preserve">PRIMERA. OBJETO DEL CONTRATO</w:t>
      </w:r>
    </w:p>
    <w:p>
      <w:pPr>
        <w:spacing w:after="200"/>
      </w:pPr>
      <w:r>
        <w:rPr>
          <w:rFonts w:ascii="Arial" w:cs="Arial" w:eastAsia="Arial" w:hAnsi="Arial"/>
          <w:sz w:val="22"/>
          <w:szCs w:val="22"/>
        </w:rPr>
        <w:t xml:space="preserve">El VENDEDOR transmite al COMPRADOR la plena titularidad de los criptoactivos descritos en el Expositivo I, constituyendo dicha transmisión una </w:t>
      </w:r>
      <w:r>
        <w:rPr>
          <w:rFonts w:ascii="Arial" w:cs="Arial" w:eastAsia="Arial" w:hAnsi="Arial"/>
          <w:b/>
          <w:bCs/>
          <w:sz w:val="22"/>
          <w:szCs w:val="22"/>
        </w:rPr>
        <w:t xml:space="preserve">alteración en la composición del patrimonio</w:t>
      </w:r>
      <w:r>
        <w:rPr>
          <w:rFonts w:ascii="Arial" w:cs="Arial" w:eastAsia="Arial" w:hAnsi="Arial"/>
          <w:sz w:val="22"/>
          <w:szCs w:val="22"/>
        </w:rPr>
        <w:t xml:space="preserve"> del VENDEDOR a los efectos del artículo 33.1 de la Ley 35/2006, de 28 de noviembre, del IRPF.</w:t>
      </w:r>
    </w:p>
    <w:p>
      <w:pPr>
        <w:spacing w:after="160" w:before="240"/>
      </w:pPr>
      <w:r>
        <w:rPr>
          <w:rFonts w:ascii="Arial" w:cs="Arial" w:eastAsia="Arial" w:hAnsi="Arial"/>
          <w:b/>
          <w:bCs/>
          <w:color w:val="2B579A"/>
          <w:sz w:val="24"/>
          <w:szCs w:val="24"/>
        </w:rPr>
        <w:t xml:space="preserve">SEGUNDA. PRECIO Y FORMA DE PAGO</w:t>
      </w:r>
    </w:p>
    <w:p>
      <w:pPr>
        <w:spacing w:after="160"/>
      </w:pPr>
      <w:r>
        <w:rPr>
          <w:rFonts w:ascii="Arial" w:cs="Arial" w:eastAsia="Arial" w:hAnsi="Arial"/>
          <w:sz w:val="22"/>
          <w:szCs w:val="22"/>
        </w:rPr>
        <w:t xml:space="preserve">El precio total de la compraventa asciende a </w:t>
      </w:r>
      <w:r>
        <w:rPr>
          <w:rFonts w:ascii="Arial" w:cs="Arial" w:eastAsia="Arial" w:hAnsi="Arial"/>
          <w:i/>
          <w:iCs/>
          <w:color w:val="996600"/>
          <w:sz w:val="22"/>
          <w:szCs w:val="22"/>
        </w:rPr>
        <w:t xml:space="preserve">[IMPORTE Y CRIPTOMONEDA DE PAGO, ej: 1 USDC]</w:t>
      </w:r>
      <w:r>
        <w:rPr>
          <w:rFonts w:ascii="Arial" w:cs="Arial" w:eastAsia="Arial" w:hAnsi="Arial"/>
          <w:sz w:val="22"/>
          <w:szCs w:val="22"/>
        </w:rPr>
        <w:t xml:space="preserve">, abonado íntegramente por el COMPRADOR al VENDEDOR mediante transferencia en la cadena de bloques.</w:t>
      </w:r>
    </w:p>
    <w:p>
      <w:pPr>
        <w:spacing w:after="160"/>
      </w:pPr>
      <w:r>
        <w:rPr>
          <w:rFonts w:ascii="Arial" w:cs="Arial" w:eastAsia="Arial" w:hAnsi="Arial"/>
          <w:sz w:val="22"/>
          <w:szCs w:val="22"/>
        </w:rPr>
        <w:t xml:space="preserve">Ambas partes reconocen que el precio pactado es el resultado de la </w:t>
      </w:r>
      <w:r>
        <w:rPr>
          <w:rFonts w:ascii="Arial" w:cs="Arial" w:eastAsia="Arial" w:hAnsi="Arial"/>
          <w:b/>
          <w:bCs/>
          <w:sz w:val="22"/>
          <w:szCs w:val="22"/>
        </w:rPr>
        <w:t xml:space="preserve">libre negociación entre partes independientes</w:t>
      </w:r>
      <w:r>
        <w:rPr>
          <w:rFonts w:ascii="Arial" w:cs="Arial" w:eastAsia="Arial" w:hAnsi="Arial"/>
          <w:sz w:val="22"/>
          <w:szCs w:val="22"/>
        </w:rPr>
        <w:t xml:space="preserve"> (art. 1255 del Código Civil), y que dicho precio constituye la mejor aproximación posible al valor real del activo dada la </w:t>
      </w:r>
      <w:r>
        <w:rPr>
          <w:rFonts w:ascii="Arial" w:cs="Arial" w:eastAsia="Arial" w:hAnsi="Arial"/>
          <w:b/>
          <w:bCs/>
          <w:sz w:val="22"/>
          <w:szCs w:val="22"/>
        </w:rPr>
        <w:t xml:space="preserve">inexistencia de un mercado de referencia líquido</w:t>
      </w:r>
      <w:r>
        <w:rPr>
          <w:rFonts w:ascii="Arial" w:cs="Arial" w:eastAsia="Arial" w:hAnsi="Arial"/>
          <w:sz w:val="22"/>
          <w:szCs w:val="22"/>
        </w:rPr>
        <w:t xml:space="preserve"> en el momento de la operación.</w:t>
      </w:r>
    </w:p>
    <w:p>
      <w:pPr>
        <w:spacing w:after="160" w:before="240"/>
      </w:pPr>
      <w:r>
        <w:rPr>
          <w:rFonts w:ascii="Arial" w:cs="Arial" w:eastAsia="Arial" w:hAnsi="Arial"/>
          <w:b/>
          <w:bCs/>
          <w:color w:val="2B579A"/>
          <w:sz w:val="24"/>
          <w:szCs w:val="24"/>
        </w:rPr>
        <w:t xml:space="preserve">TERCERA. TRAZABILIDAD DE LA OPERACIÓN EN CADENA DE BLOQUES</w:t>
      </w:r>
    </w:p>
    <w:p>
      <w:pPr>
        <w:spacing w:after="160"/>
      </w:pPr>
      <w:r>
        <w:rPr>
          <w:rFonts w:ascii="Arial" w:cs="Arial" w:eastAsia="Arial" w:hAnsi="Arial"/>
          <w:sz w:val="22"/>
          <w:szCs w:val="22"/>
        </w:rPr>
        <w:t xml:space="preserve">Las partes dejan constancia de los siguientes datos de la operación ejecutada en la cadena de bloques:</w:t>
      </w:r>
    </w:p>
    <w:tbl>
      <w:tblPr>
        <w:tblW w:type="dxa" w:w="9306"/>
        <w:tblBorders>
          <w:top w:val="single" w:color="auto" w:sz="4"/>
          <w:left w:val="single" w:color="auto" w:sz="4"/>
          <w:bottom w:val="single" w:color="auto" w:sz="4"/>
          <w:right w:val="single" w:color="auto" w:sz="4"/>
          <w:insideH w:val="single" w:color="auto" w:sz="4"/>
          <w:insideV w:val="single" w:color="auto" w:sz="4"/>
        </w:tblBorders>
      </w:tblPr>
      <w:tblGrid>
        <w:gridCol w:w="3100"/>
        <w:gridCol w:w="6206"/>
      </w:tblGrid>
      <w:tr>
        <w:tc>
          <w:tcPr>
            <w:tcW w:type="dxa" w:w="3100"/>
            <w:tcBorders>
              <w:top w:val="single" w:color="999999" w:sz="1"/>
              <w:left w:val="single" w:color="999999" w:sz="1"/>
              <w:bottom w:val="single" w:color="999999" w:sz="1"/>
              <w:right w:val="single" w:color="999999" w:sz="1"/>
            </w:tcBorders>
            <w:shd w:fill="2B579A" w:val="clear"/>
            <w:tcMar>
              <w:top w:type="dxa" w:w="60"/>
              <w:left w:type="dxa" w:w="100"/>
              <w:bottom w:type="dxa" w:w="60"/>
              <w:right w:type="dxa" w:w="100"/>
            </w:tcMar>
            <w:vAlign w:val="center"/>
          </w:tcPr>
          <w:p>
            <w:pPr>
              <w:jc w:val="left"/>
            </w:pPr>
            <w:r>
              <w:rPr>
                <w:rFonts w:ascii="Arial" w:cs="Arial" w:eastAsia="Arial" w:hAnsi="Arial"/>
                <w:b/>
                <w:bCs/>
                <w:color w:val="FFFFFF"/>
                <w:sz w:val="20"/>
                <w:szCs w:val="20"/>
              </w:rPr>
              <w:t xml:space="preserve">Concepto</w:t>
            </w:r>
          </w:p>
        </w:tc>
        <w:tc>
          <w:tcPr>
            <w:tcW w:type="dxa" w:w="6206"/>
            <w:tcBorders>
              <w:top w:val="single" w:color="999999" w:sz="1"/>
              <w:left w:val="single" w:color="999999" w:sz="1"/>
              <w:bottom w:val="single" w:color="999999" w:sz="1"/>
              <w:right w:val="single" w:color="999999" w:sz="1"/>
            </w:tcBorders>
            <w:shd w:fill="2B579A" w:val="clear"/>
            <w:tcMar>
              <w:top w:type="dxa" w:w="60"/>
              <w:left w:type="dxa" w:w="100"/>
              <w:bottom w:type="dxa" w:w="60"/>
              <w:right w:type="dxa" w:w="100"/>
            </w:tcMar>
            <w:vAlign w:val="center"/>
          </w:tcPr>
          <w:p>
            <w:pPr>
              <w:jc w:val="left"/>
            </w:pPr>
            <w:r>
              <w:rPr>
                <w:rFonts w:ascii="Arial" w:cs="Arial" w:eastAsia="Arial" w:hAnsi="Arial"/>
                <w:b/>
                <w:bCs/>
                <w:color w:val="FFFFFF"/>
                <w:sz w:val="20"/>
                <w:szCs w:val="20"/>
              </w:rPr>
              <w:t xml:space="preserve">Valor</w:t>
            </w:r>
          </w:p>
        </w:tc>
      </w:tr>
      <w:tr>
        <w:tc>
          <w:tcPr>
            <w:tcW w:type="dxa" w:w="3100"/>
            <w:tcBorders>
              <w:top w:val="single" w:color="999999" w:sz="1"/>
              <w:left w:val="single" w:color="999999" w:sz="1"/>
              <w:bottom w:val="single" w:color="999999" w:sz="1"/>
              <w:right w:val="single" w:color="999999" w:sz="1"/>
            </w:tcBorders>
            <w:tcMar>
              <w:top w:type="dxa" w:w="60"/>
              <w:left w:type="dxa" w:w="100"/>
              <w:bottom w:type="dxa" w:w="60"/>
              <w:right w:type="dxa" w:w="100"/>
            </w:tcMar>
            <w:vAlign w:val="center"/>
          </w:tcPr>
          <w:p>
            <w:pPr>
              <w:jc w:val="left"/>
            </w:pPr>
            <w:r>
              <w:rPr>
                <w:rFonts w:ascii="Arial" w:cs="Arial" w:eastAsia="Arial" w:hAnsi="Arial"/>
                <w:b w:val="false"/>
                <w:bCs w:val="false"/>
                <w:color w:val="333333"/>
                <w:sz w:val="20"/>
                <w:szCs w:val="20"/>
              </w:rPr>
              <w:t xml:space="preserve">Monedero del VENDEDOR</w:t>
            </w:r>
          </w:p>
        </w:tc>
        <w:tc>
          <w:tcPr>
            <w:tcW w:type="dxa" w:w="6206"/>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[Dirección pública del monedero del vendedor]</w:t>
            </w:r>
          </w:p>
        </w:tc>
      </w:tr>
      <w:tr>
        <w:tc>
          <w:tcPr>
            <w:tcW w:type="dxa" w:w="3100"/>
            <w:tcBorders>
              <w:top w:val="single" w:color="999999" w:sz="1"/>
              <w:left w:val="single" w:color="999999" w:sz="1"/>
              <w:bottom w:val="single" w:color="999999" w:sz="1"/>
              <w:right w:val="single" w:color="999999" w:sz="1"/>
            </w:tcBorders>
            <w:tcMar>
              <w:top w:type="dxa" w:w="60"/>
              <w:left w:type="dxa" w:w="100"/>
              <w:bottom w:type="dxa" w:w="60"/>
              <w:right w:type="dxa" w:w="100"/>
            </w:tcMar>
            <w:vAlign w:val="center"/>
          </w:tcPr>
          <w:p>
            <w:pPr>
              <w:jc w:val="left"/>
            </w:pPr>
            <w:r>
              <w:rPr>
                <w:rFonts w:ascii="Arial" w:cs="Arial" w:eastAsia="Arial" w:hAnsi="Arial"/>
                <w:b w:val="false"/>
                <w:bCs w:val="false"/>
                <w:color w:val="333333"/>
                <w:sz w:val="20"/>
                <w:szCs w:val="20"/>
              </w:rPr>
              <w:t xml:space="preserve">Monedero del COMPRADOR</w:t>
            </w:r>
          </w:p>
        </w:tc>
        <w:tc>
          <w:tcPr>
            <w:tcW w:type="dxa" w:w="6206"/>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[Dirección pública del monedero del comprador]</w:t>
            </w:r>
          </w:p>
        </w:tc>
      </w:tr>
      <w:tr>
        <w:tc>
          <w:tcPr>
            <w:tcW w:type="dxa" w:w="3100"/>
            <w:tcBorders>
              <w:top w:val="single" w:color="999999" w:sz="1"/>
              <w:left w:val="single" w:color="999999" w:sz="1"/>
              <w:bottom w:val="single" w:color="999999" w:sz="1"/>
              <w:right w:val="single" w:color="999999" w:sz="1"/>
            </w:tcBorders>
            <w:tcMar>
              <w:top w:type="dxa" w:w="60"/>
              <w:left w:type="dxa" w:w="100"/>
              <w:bottom w:type="dxa" w:w="60"/>
              <w:right w:type="dxa" w:w="100"/>
            </w:tcMar>
            <w:vAlign w:val="center"/>
          </w:tcPr>
          <w:p>
            <w:pPr>
              <w:jc w:val="left"/>
            </w:pPr>
            <w:r>
              <w:rPr>
                <w:rFonts w:ascii="Arial" w:cs="Arial" w:eastAsia="Arial" w:hAnsi="Arial"/>
                <w:b w:val="false"/>
                <w:bCs w:val="false"/>
                <w:color w:val="333333"/>
                <w:sz w:val="20"/>
                <w:szCs w:val="20"/>
              </w:rPr>
              <w:t xml:space="preserve">Hash de envío de tokens</w:t>
            </w:r>
          </w:p>
        </w:tc>
        <w:tc>
          <w:tcPr>
            <w:tcW w:type="dxa" w:w="6206"/>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[Hash de la transacción de envío de tokens]</w:t>
            </w:r>
          </w:p>
        </w:tc>
      </w:tr>
      <w:tr>
        <w:tc>
          <w:tcPr>
            <w:tcW w:type="dxa" w:w="3100"/>
            <w:tcBorders>
              <w:top w:val="single" w:color="999999" w:sz="1"/>
              <w:left w:val="single" w:color="999999" w:sz="1"/>
              <w:bottom w:val="single" w:color="999999" w:sz="1"/>
              <w:right w:val="single" w:color="999999" w:sz="1"/>
            </w:tcBorders>
            <w:tcMar>
              <w:top w:type="dxa" w:w="60"/>
              <w:left w:type="dxa" w:w="100"/>
              <w:bottom w:type="dxa" w:w="60"/>
              <w:right w:type="dxa" w:w="100"/>
            </w:tcMar>
            <w:vAlign w:val="center"/>
          </w:tcPr>
          <w:p>
            <w:pPr>
              <w:jc w:val="left"/>
            </w:pPr>
            <w:r>
              <w:rPr>
                <w:rFonts w:ascii="Arial" w:cs="Arial" w:eastAsia="Arial" w:hAnsi="Arial"/>
                <w:b w:val="false"/>
                <w:bCs w:val="false"/>
                <w:color w:val="333333"/>
                <w:sz w:val="20"/>
                <w:szCs w:val="20"/>
              </w:rPr>
              <w:t xml:space="preserve">Hash de pago del precio</w:t>
            </w:r>
          </w:p>
        </w:tc>
        <w:tc>
          <w:tcPr>
            <w:tcW w:type="dxa" w:w="6206"/>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[Hash de la transacción de pago]</w:t>
            </w:r>
          </w:p>
        </w:tc>
      </w:tr>
      <w:tr>
        <w:tc>
          <w:tcPr>
            <w:tcW w:type="dxa" w:w="3100"/>
            <w:tcBorders>
              <w:top w:val="single" w:color="999999" w:sz="1"/>
              <w:left w:val="single" w:color="999999" w:sz="1"/>
              <w:bottom w:val="single" w:color="999999" w:sz="1"/>
              <w:right w:val="single" w:color="999999" w:sz="1"/>
            </w:tcBorders>
            <w:tcMar>
              <w:top w:type="dxa" w:w="60"/>
              <w:left w:type="dxa" w:w="100"/>
              <w:bottom w:type="dxa" w:w="60"/>
              <w:right w:type="dxa" w:w="100"/>
            </w:tcMar>
            <w:vAlign w:val="center"/>
          </w:tcPr>
          <w:p>
            <w:pPr>
              <w:jc w:val="left"/>
            </w:pPr>
            <w:r>
              <w:rPr>
                <w:rFonts w:ascii="Arial" w:cs="Arial" w:eastAsia="Arial" w:hAnsi="Arial"/>
                <w:b w:val="false"/>
                <w:bCs w:val="false"/>
                <w:color w:val="333333"/>
                <w:sz w:val="20"/>
                <w:szCs w:val="20"/>
              </w:rPr>
              <w:t xml:space="preserve">Red blockchain</w:t>
            </w:r>
          </w:p>
        </w:tc>
        <w:tc>
          <w:tcPr>
            <w:tcW w:type="dxa" w:w="6206"/>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[Ej: BNB Smart Chain, Ethereum, Polygon...]</w:t>
            </w:r>
          </w:p>
        </w:tc>
      </w:tr>
      <w:tr>
        <w:tc>
          <w:tcPr>
            <w:tcW w:type="dxa" w:w="3100"/>
            <w:tcBorders>
              <w:top w:val="single" w:color="999999" w:sz="1"/>
              <w:left w:val="single" w:color="999999" w:sz="1"/>
              <w:bottom w:val="single" w:color="999999" w:sz="1"/>
              <w:right w:val="single" w:color="999999" w:sz="1"/>
            </w:tcBorders>
            <w:tcMar>
              <w:top w:type="dxa" w:w="60"/>
              <w:left w:type="dxa" w:w="100"/>
              <w:bottom w:type="dxa" w:w="60"/>
              <w:right w:type="dxa" w:w="100"/>
            </w:tcMar>
            <w:vAlign w:val="center"/>
          </w:tcPr>
          <w:p>
            <w:pPr>
              <w:jc w:val="left"/>
            </w:pPr>
            <w:r>
              <w:rPr>
                <w:rFonts w:ascii="Arial" w:cs="Arial" w:eastAsia="Arial" w:hAnsi="Arial"/>
                <w:b w:val="false"/>
                <w:bCs w:val="false"/>
                <w:color w:val="333333"/>
                <w:sz w:val="20"/>
                <w:szCs w:val="20"/>
              </w:rPr>
              <w:t xml:space="preserve">Fecha y hora UTC</w:t>
            </w:r>
          </w:p>
        </w:tc>
        <w:tc>
          <w:tcPr>
            <w:tcW w:type="dxa" w:w="6206"/>
            <w:tcBorders>
              <w:top w:val="single" w:color="999999" w:sz="1"/>
              <w:left w:val="single" w:color="999999" w:sz="1"/>
              <w:bottom w:val="single" w:color="999999" w:sz="1"/>
              <w:right w:val="single" w:color="999999" w:sz="1"/>
            </w:tcBorders>
            <w:shd w:fill="FFF9E6" w:val="clear"/>
            <w:tcMar>
              <w:top w:type="dxa" w:w="60"/>
              <w:left w:type="dxa" w:w="100"/>
              <w:bottom w:type="dxa" w:w="60"/>
              <w:right w:type="dxa" w:w="100"/>
            </w:tcMar>
          </w:tcPr>
          <w:p>
            <w:r>
              <w:rPr>
                <w:rFonts w:ascii="Arial" w:cs="Arial" w:eastAsia="Arial" w:hAnsi="Arial"/>
                <w:i/>
                <w:iCs/>
                <w:color w:val="996600"/>
                <w:sz w:val="20"/>
                <w:szCs w:val="20"/>
              </w:rPr>
              <w:t xml:space="preserve">[DD/MM/AAAA - HH:MM UTC]</w:t>
            </w:r>
          </w:p>
        </w:tc>
      </w:tr>
    </w:tbl>
    <w:p>
      <w:pPr>
        <w:spacing w:after="100"/>
      </w:pPr>
    </w:p>
    <w:p>
      <w:pPr>
        <w:spacing w:after="200"/>
      </w:pPr>
      <w:r>
        <w:rPr>
          <w:rFonts w:ascii="Arial" w:cs="Arial" w:eastAsia="Arial" w:hAnsi="Arial"/>
          <w:sz w:val="22"/>
          <w:szCs w:val="22"/>
        </w:rPr>
        <w:t xml:space="preserve">La información anterior es verificable públicamente en el explorador de bloques correspondiente a la red utilizada, y constituye prueba fehaciente de la realidad de la transmisión.</w:t>
      </w:r>
    </w:p>
    <w:p>
      <w:pPr>
        <w:spacing w:after="160" w:before="240"/>
      </w:pPr>
      <w:r>
        <w:rPr>
          <w:rFonts w:ascii="Arial" w:cs="Arial" w:eastAsia="Arial" w:hAnsi="Arial"/>
          <w:b/>
          <w:bCs/>
          <w:color w:val="2B579A"/>
          <w:sz w:val="24"/>
          <w:szCs w:val="24"/>
        </w:rPr>
        <w:t xml:space="preserve">CUARTA. AUSENCIA DE GARANTÍA Y ASUNCIÓN DE RIESGO</w:t>
      </w:r>
    </w:p>
    <w:p>
      <w:pPr>
        <w:spacing w:after="200"/>
      </w:pPr>
      <w:r>
        <w:rPr>
          <w:rFonts w:ascii="Arial" w:cs="Arial" w:eastAsia="Arial" w:hAnsi="Arial"/>
          <w:sz w:val="22"/>
          <w:szCs w:val="22"/>
        </w:rPr>
        <w:t xml:space="preserve">El COMPRADOR declara ser plenamente consciente de que los activos adquiridos no cuentan con mercado activo, que su valoración es incierta y altamente especulativa, y que el VENDEDOR </w:t>
      </w:r>
      <w:r>
        <w:rPr>
          <w:rFonts w:ascii="Arial" w:cs="Arial" w:eastAsia="Arial" w:hAnsi="Arial"/>
          <w:b/>
          <w:bCs/>
          <w:sz w:val="22"/>
          <w:szCs w:val="22"/>
        </w:rPr>
        <w:t xml:space="preserve">no ofrece ninguna garantía de revalorización, utilidad, liquidez futura ni compromiso de recompra</w:t>
      </w:r>
      <w:r>
        <w:rPr>
          <w:rFonts w:ascii="Arial" w:cs="Arial" w:eastAsia="Arial" w:hAnsi="Arial"/>
          <w:sz w:val="22"/>
          <w:szCs w:val="22"/>
        </w:rPr>
        <w:t xml:space="preserve">. La operación se realiza bajo el principio de riesgo íntegramente asumido por el COMPRADOR, renunciando a cualquier reclamación futura basada en expectativas de valor o rentabilidad.</w:t>
      </w:r>
    </w:p>
    <w:p>
      <w:pPr>
        <w:spacing w:after="160" w:before="240"/>
      </w:pPr>
      <w:r>
        <w:rPr>
          <w:rFonts w:ascii="Arial" w:cs="Arial" w:eastAsia="Arial" w:hAnsi="Arial"/>
          <w:b/>
          <w:bCs/>
          <w:color w:val="2B579A"/>
          <w:sz w:val="24"/>
          <w:szCs w:val="24"/>
        </w:rPr>
        <w:t xml:space="preserve">QUINTA. DECLARACIÓN DE NO VINCULACIÓN ENTRE LAS PARTES</w:t>
      </w:r>
    </w:p>
    <w:p>
      <w:pPr>
        <w:spacing w:after="200"/>
      </w:pPr>
      <w:r>
        <w:rPr>
          <w:rFonts w:ascii="Arial" w:cs="Arial" w:eastAsia="Arial" w:hAnsi="Arial"/>
          <w:sz w:val="22"/>
          <w:szCs w:val="22"/>
        </w:rPr>
        <w:t xml:space="preserve">Las partes declaran bajo su responsabilidad que no existe entre ellas relación de parentesco por consanguinidad o afinidad hasta tercer grado, ni vínculo matrimonial, ni relación societaria, laboral o de dependencia económica de ninguna naturaleza, conforme a lo previsto en el artículo 18 de la </w:t>
      </w:r>
      <w:r>
        <w:rPr>
          <w:rFonts w:ascii="Arial" w:cs="Arial" w:eastAsia="Arial" w:hAnsi="Arial"/>
          <w:i/>
          <w:iCs/>
          <w:sz w:val="22"/>
          <w:szCs w:val="22"/>
        </w:rPr>
        <w:t xml:space="preserve">Ley 27/2014, del Impuesto sobre Sociedades</w:t>
      </w:r>
      <w:r>
        <w:rPr>
          <w:rFonts w:ascii="Arial" w:cs="Arial" w:eastAsia="Arial" w:hAnsi="Arial"/>
          <w:sz w:val="22"/>
          <w:szCs w:val="22"/>
        </w:rPr>
        <w:t xml:space="preserve">. La operación se ha negociado y ejecutado en condiciones de plena independencia y libre mercado, sin que medie acuerdo, entendimiento o relación previa que pudiera condicionar los términos pactados.</w:t>
      </w:r>
    </w:p>
    <w:p>
      <w:pPr>
        <w:spacing w:after="160" w:before="240"/>
      </w:pPr>
      <w:r>
        <w:rPr>
          <w:rFonts w:ascii="Arial" w:cs="Arial" w:eastAsia="Arial" w:hAnsi="Arial"/>
          <w:b/>
          <w:bCs/>
          <w:color w:val="2B579A"/>
          <w:sz w:val="24"/>
          <w:szCs w:val="24"/>
        </w:rPr>
        <w:t xml:space="preserve">SEXTA. LEGISLACIÓN APLICABLE Y JURISDICCIÓN</w:t>
      </w:r>
    </w:p>
    <w:p>
      <w:pPr>
        <w:spacing w:after="120"/>
      </w:pPr>
      <w:r>
        <w:rPr>
          <w:rFonts w:ascii="Arial" w:cs="Arial" w:eastAsia="Arial" w:hAnsi="Arial"/>
          <w:sz w:val="22"/>
          <w:szCs w:val="22"/>
        </w:rPr>
        <w:t xml:space="preserve">El presente contrato tiene carácter privado y se regirá por la legislación civil española, en particular por los artículos 1254 y siguientes del Código Civil. Para la resolución de cualquier controversia, las partes se someten a los Juzgados y Tribunales de </w:t>
      </w:r>
      <w:r>
        <w:rPr>
          <w:rFonts w:ascii="Arial" w:cs="Arial" w:eastAsia="Arial" w:hAnsi="Arial"/>
          <w:i/>
          <w:iCs/>
          <w:color w:val="996600"/>
          <w:sz w:val="22"/>
          <w:szCs w:val="22"/>
        </w:rPr>
        <w:t xml:space="preserve">[LOCALIDAD]</w:t>
      </w:r>
      <w:r>
        <w:rPr>
          <w:rFonts w:ascii="Arial" w:cs="Arial" w:eastAsia="Arial" w:hAnsi="Arial"/>
          <w:sz w:val="22"/>
          <w:szCs w:val="22"/>
        </w:rPr>
        <w:t xml:space="preserve">, con renuncia expresa a cualquier otro fuero.</w:t>
      </w:r>
    </w:p>
    <w:p>
      <w:pPr>
        <w:spacing w:after="100"/>
      </w:pPr>
    </w:p>
    <w:p>
      <w:pPr>
        <w:spacing w:after="300" w:before="400"/>
      </w:pPr>
      <w:r>
        <w:rPr>
          <w:rFonts w:ascii="Arial" w:cs="Arial" w:eastAsia="Arial" w:hAnsi="Arial"/>
          <w:sz w:val="22"/>
          <w:szCs w:val="22"/>
        </w:rPr>
        <w:t xml:space="preserve">Y en prueba de conformidad, ambas partes firman el presente contrato por duplicado en el lugar y fecha indicados.</w:t>
      </w:r>
    </w:p>
    <w:p>
      <w:pPr>
        <w:spacing w:after="80"/>
      </w:pPr>
      <w:r>
        <w:rPr>
          <w:rFonts w:ascii="Arial" w:cs="Arial" w:eastAsia="Arial" w:hAnsi="Arial"/>
          <w:b/>
          <w:bCs/>
          <w:sz w:val="22"/>
          <w:szCs w:val="22"/>
        </w:rPr>
        <w:t xml:space="preserve">Lugar y fecha: </w:t>
      </w:r>
      <w:r>
        <w:rPr>
          <w:rFonts w:ascii="Arial" w:cs="Arial" w:eastAsia="Arial" w:hAnsi="Arial"/>
          <w:i/>
          <w:iCs/>
          <w:color w:val="996600"/>
          <w:sz w:val="22"/>
          <w:szCs w:val="22"/>
        </w:rPr>
        <w:t xml:space="preserve">[LOCALIDAD]</w:t>
      </w:r>
      <w:r>
        <w:rPr>
          <w:rFonts w:ascii="Arial" w:cs="Arial" w:eastAsia="Arial" w:hAnsi="Arial"/>
          <w:sz w:val="22"/>
          <w:szCs w:val="22"/>
        </w:rPr>
        <w:t xml:space="preserve">, a </w:t>
      </w:r>
      <w:r>
        <w:rPr>
          <w:rFonts w:ascii="Arial" w:cs="Arial" w:eastAsia="Arial" w:hAnsi="Arial"/>
          <w:i/>
          <w:iCs/>
          <w:color w:val="996600"/>
          <w:sz w:val="22"/>
          <w:szCs w:val="22"/>
        </w:rPr>
        <w:t xml:space="preserve">[DÍA]</w:t>
      </w:r>
      <w:r>
        <w:rPr>
          <w:rFonts w:ascii="Arial" w:cs="Arial" w:eastAsia="Arial" w:hAnsi="Arial"/>
          <w:sz w:val="22"/>
          <w:szCs w:val="22"/>
        </w:rPr>
        <w:t xml:space="preserve"> de </w:t>
      </w:r>
      <w:r>
        <w:rPr>
          <w:rFonts w:ascii="Arial" w:cs="Arial" w:eastAsia="Arial" w:hAnsi="Arial"/>
          <w:i/>
          <w:iCs/>
          <w:color w:val="996600"/>
          <w:sz w:val="22"/>
          <w:szCs w:val="22"/>
        </w:rPr>
        <w:t xml:space="preserve">[MES]</w:t>
      </w:r>
      <w:r>
        <w:rPr>
          <w:rFonts w:ascii="Arial" w:cs="Arial" w:eastAsia="Arial" w:hAnsi="Arial"/>
          <w:sz w:val="22"/>
          <w:szCs w:val="22"/>
        </w:rPr>
        <w:t xml:space="preserve"> de </w:t>
      </w:r>
      <w:r>
        <w:rPr>
          <w:rFonts w:ascii="Arial" w:cs="Arial" w:eastAsia="Arial" w:hAnsi="Arial"/>
          <w:i/>
          <w:iCs/>
          <w:color w:val="996600"/>
          <w:sz w:val="22"/>
          <w:szCs w:val="22"/>
        </w:rPr>
        <w:t xml:space="preserve">[AÑO]</w:t>
      </w:r>
    </w:p>
    <w:p>
      <w:pPr>
        <w:spacing w:after="100"/>
      </w:pPr>
    </w:p>
    <w:p>
      <w:pPr>
        <w:spacing w:after="100"/>
      </w:pPr>
    </w:p>
    <w:tbl>
      <w:tblPr>
        <w:tblW w:type="dxa" w:w="9306"/>
        <w:tblBorders>
          <w:top w:val="single" w:color="auto" w:sz="4"/>
          <w:left w:val="single" w:color="auto" w:sz="4"/>
          <w:bottom w:val="single" w:color="auto" w:sz="4"/>
          <w:right w:val="single" w:color="auto" w:sz="4"/>
          <w:insideH w:val="single" w:color="auto" w:sz="4"/>
          <w:insideV w:val="single" w:color="auto" w:sz="4"/>
        </w:tblBorders>
      </w:tblPr>
      <w:tblGrid>
        <w:gridCol w:w="4653"/>
        <w:gridCol w:w="4653"/>
      </w:tblGrid>
      <w:tr>
        <w:tc>
          <w:tcPr>
            <w:tcW w:type="dxa" w:w="4653"/>
            <w:tcBorders>
              <w:top w:val="none" w:sz="0"/>
              <w:left w:val="none" w:sz="0"/>
              <w:bottom w:val="none" w:sz="0"/>
              <w:right w:val="none" w:sz="0"/>
            </w:tcBorders>
            <w:tcMar>
              <w:top w:type="dxa" w:w="60"/>
              <w:left w:type="dxa" w:w="100"/>
              <w:bottom w:type="dxa" w:w="60"/>
              <w:right w:type="dxa" w:w="400"/>
            </w:tcMar>
          </w:tcPr>
          <w:p>
            <w:pPr>
              <w:spacing w:after="40"/>
              <w:jc w:val="center"/>
            </w:pPr>
            <w:r>
              <w:rPr>
                <w:rFonts w:ascii="Arial" w:cs="Arial" w:eastAsia="Arial" w:hAnsi="Arial"/>
                <w:b/>
                <w:bCs/>
                <w:sz w:val="22"/>
                <w:szCs w:val="22"/>
              </w:rPr>
              <w:t xml:space="preserve">VENDEDOR</w:t>
            </w:r>
          </w:p>
          <w:p>
            <w:pPr>
              <w:spacing w:after="100"/>
            </w:pPr>
          </w:p>
          <w:p>
            <w:pPr>
              <w:spacing w:after="100"/>
            </w:pPr>
          </w:p>
          <w:p>
            <w:pPr>
              <w:spacing w:after="100"/>
            </w:pPr>
          </w:p>
          <w:p>
            <w:pPr>
              <w:jc w:val="center"/>
            </w:pPr>
            <w:r>
              <w:rPr>
                <w:rFonts w:ascii="Arial" w:cs="Arial" w:eastAsia="Arial" w:hAnsi="Arial"/>
                <w:color w:val="999999"/>
                <w:sz w:val="20"/>
                <w:szCs w:val="20"/>
              </w:rPr>
              <w:t xml:space="preserve">____________________________</w:t>
            </w:r>
          </w:p>
          <w:p>
            <w:pPr>
              <w:jc w:val="center"/>
            </w:pPr>
            <w:r>
              <w:rPr>
                <w:rFonts w:ascii="Arial" w:cs="Arial" w:eastAsia="Arial" w:hAnsi="Arial"/>
                <w:i/>
                <w:iCs/>
                <w:color w:val="996600"/>
                <w:sz w:val="20"/>
                <w:szCs w:val="20"/>
              </w:rPr>
              <w:t xml:space="preserve">[Nombre completo]</w:t>
            </w:r>
          </w:p>
          <w:p>
            <w:pPr>
              <w:jc w:val="center"/>
            </w:pPr>
            <w:r>
              <w:rPr>
                <w:rFonts w:ascii="Arial" w:cs="Arial" w:eastAsia="Arial" w:hAnsi="Arial"/>
                <w:i/>
                <w:iCs/>
                <w:color w:val="996600"/>
                <w:sz w:val="20"/>
                <w:szCs w:val="20"/>
              </w:rPr>
              <w:t xml:space="preserve">[DNI/NIE/NRT]</w:t>
            </w:r>
          </w:p>
        </w:tc>
        <w:tc>
          <w:tcPr>
            <w:tcW w:type="dxa" w:w="4653"/>
            <w:tcBorders>
              <w:top w:val="none" w:sz="0"/>
              <w:left w:val="none" w:sz="0"/>
              <w:bottom w:val="none" w:sz="0"/>
              <w:right w:val="none" w:sz="0"/>
            </w:tcBorders>
            <w:tcMar>
              <w:top w:type="dxa" w:w="60"/>
              <w:left w:type="dxa" w:w="400"/>
              <w:bottom w:type="dxa" w:w="60"/>
              <w:right w:type="dxa" w:w="100"/>
            </w:tcMar>
          </w:tcPr>
          <w:p>
            <w:pPr>
              <w:spacing w:after="40"/>
              <w:jc w:val="center"/>
            </w:pPr>
            <w:r>
              <w:rPr>
                <w:rFonts w:ascii="Arial" w:cs="Arial" w:eastAsia="Arial" w:hAnsi="Arial"/>
                <w:b/>
                <w:bCs/>
                <w:sz w:val="22"/>
                <w:szCs w:val="22"/>
              </w:rPr>
              <w:t xml:space="preserve">COMPRADOR</w:t>
            </w:r>
          </w:p>
          <w:p>
            <w:pPr>
              <w:spacing w:after="100"/>
            </w:pPr>
          </w:p>
          <w:p>
            <w:pPr>
              <w:spacing w:after="100"/>
            </w:pPr>
          </w:p>
          <w:p>
            <w:pPr>
              <w:spacing w:after="100"/>
            </w:pPr>
          </w:p>
          <w:p>
            <w:pPr>
              <w:jc w:val="center"/>
            </w:pPr>
            <w:r>
              <w:rPr>
                <w:rFonts w:ascii="Arial" w:cs="Arial" w:eastAsia="Arial" w:hAnsi="Arial"/>
                <w:color w:val="999999"/>
                <w:sz w:val="20"/>
                <w:szCs w:val="20"/>
              </w:rPr>
              <w:t xml:space="preserve">____________________________</w:t>
            </w:r>
          </w:p>
          <w:p>
            <w:pPr>
              <w:jc w:val="center"/>
            </w:pPr>
            <w:r>
              <w:rPr>
                <w:rFonts w:ascii="Arial" w:cs="Arial" w:eastAsia="Arial" w:hAnsi="Arial"/>
                <w:i/>
                <w:iCs/>
                <w:color w:val="996600"/>
                <w:sz w:val="20"/>
                <w:szCs w:val="20"/>
              </w:rPr>
              <w:t xml:space="preserve">[Nombre completo]</w:t>
            </w:r>
          </w:p>
          <w:p>
            <w:pPr>
              <w:jc w:val="center"/>
            </w:pPr>
            <w:r>
              <w:rPr>
                <w:rFonts w:ascii="Arial" w:cs="Arial" w:eastAsia="Arial" w:hAnsi="Arial"/>
                <w:i/>
                <w:iCs/>
                <w:color w:val="996600"/>
                <w:sz w:val="20"/>
                <w:szCs w:val="20"/>
              </w:rPr>
              <w:t xml:space="preserve">[DNI/NIE/NRT]</w:t>
            </w:r>
          </w:p>
        </w:tc>
      </w:tr>
    </w:tbl>
    <w:p>
      <w:pPr>
        <w:pageBreakBefore/>
        <w:spacing w:after="200"/>
      </w:pPr>
      <w:r>
        <w:rPr>
          <w:rFonts w:ascii="Arial" w:cs="Arial" w:eastAsia="Arial" w:hAnsi="Arial"/>
          <w:b/>
          <w:bCs/>
          <w:color w:val="2B579A"/>
          <w:sz w:val="24"/>
          <w:szCs w:val="24"/>
        </w:rPr>
        <w:t xml:space="preserve">REFERENCIAS LEGALES</w:t>
      </w:r>
    </w:p>
    <w:p>
      <w:pPr>
        <w:spacing w:after="80"/>
      </w:pPr>
      <w:r>
        <w:rPr>
          <w:rFonts w:ascii="Arial" w:cs="Arial" w:eastAsia="Arial" w:hAnsi="Arial"/>
          <w:sz w:val="20"/>
          <w:szCs w:val="20"/>
        </w:rPr>
        <w:t xml:space="preserve">El presente contrato se fundamenta en la siguiente normativa:</w:t>
      </w:r>
    </w:p>
    <w:p>
      <w:pPr>
        <w:spacing w:after="100"/>
      </w:pPr>
    </w:p>
    <w:p>
      <w:pPr>
        <w:spacing w:after="80"/>
        <w:ind w:left="360"/>
      </w:pPr>
      <w:r>
        <w:rPr>
          <w:rFonts w:ascii="Arial" w:cs="Arial" w:eastAsia="Arial" w:hAnsi="Arial"/>
          <w:sz w:val="20"/>
          <w:szCs w:val="20"/>
        </w:rPr>
        <w:t xml:space="preserve">• </w:t>
      </w:r>
      <w:r>
        <w:rPr>
          <w:rFonts w:ascii="Arial" w:cs="Arial" w:eastAsia="Arial" w:hAnsi="Arial"/>
          <w:b/>
          <w:bCs/>
          <w:sz w:val="20"/>
          <w:szCs w:val="20"/>
        </w:rPr>
        <w:t xml:space="preserve">Art. 33.1 Ley 35/2006 (LIRPF)</w:t>
      </w:r>
      <w:r>
        <w:rPr>
          <w:rFonts w:ascii="Arial" w:cs="Arial" w:eastAsia="Arial" w:hAnsi="Arial"/>
          <w:sz w:val="20"/>
          <w:szCs w:val="20"/>
        </w:rPr>
        <w:t xml:space="preserve"> — Concepto de ganancia y pérdida patrimonial: exige alteración en la composición del patrimonio.</w:t>
      </w:r>
    </w:p>
    <w:p>
      <w:pPr>
        <w:spacing w:after="80"/>
        <w:ind w:left="360"/>
      </w:pPr>
      <w:r>
        <w:rPr>
          <w:rFonts w:ascii="Arial" w:cs="Arial" w:eastAsia="Arial" w:hAnsi="Arial"/>
          <w:sz w:val="20"/>
          <w:szCs w:val="20"/>
        </w:rPr>
        <w:t xml:space="preserve">• </w:t>
      </w:r>
      <w:r>
        <w:rPr>
          <w:rFonts w:ascii="Arial" w:cs="Arial" w:eastAsia="Arial" w:hAnsi="Arial"/>
          <w:b/>
          <w:bCs/>
          <w:sz w:val="20"/>
          <w:szCs w:val="20"/>
        </w:rPr>
        <w:t xml:space="preserve">Art. 33.5.f) Ley 35/2006 (LIRPF)</w:t>
      </w:r>
      <w:r>
        <w:rPr>
          <w:rFonts w:ascii="Arial" w:cs="Arial" w:eastAsia="Arial" w:hAnsi="Arial"/>
          <w:sz w:val="20"/>
          <w:szCs w:val="20"/>
        </w:rPr>
        <w:t xml:space="preserve"> — Norma antiaplicación: no computa la pérdida si se recompra el activo dentro de un año.</w:t>
      </w:r>
    </w:p>
    <w:p>
      <w:pPr>
        <w:spacing w:after="80"/>
        <w:ind w:left="360"/>
      </w:pPr>
      <w:r>
        <w:rPr>
          <w:rFonts w:ascii="Arial" w:cs="Arial" w:eastAsia="Arial" w:hAnsi="Arial"/>
          <w:sz w:val="20"/>
          <w:szCs w:val="20"/>
        </w:rPr>
        <w:t xml:space="preserve">• </w:t>
      </w:r>
      <w:r>
        <w:rPr>
          <w:rFonts w:ascii="Arial" w:cs="Arial" w:eastAsia="Arial" w:hAnsi="Arial"/>
          <w:b/>
          <w:bCs/>
          <w:sz w:val="20"/>
          <w:szCs w:val="20"/>
        </w:rPr>
        <w:t xml:space="preserve">Art. 18 Ley 27/2014 (LIS)</w:t>
      </w:r>
      <w:r>
        <w:rPr>
          <w:rFonts w:ascii="Arial" w:cs="Arial" w:eastAsia="Arial" w:hAnsi="Arial"/>
          <w:sz w:val="20"/>
          <w:szCs w:val="20"/>
        </w:rPr>
        <w:t xml:space="preserve"> — Operaciones vinculadas: partes vinculadas deben operar a valor de mercado.</w:t>
      </w:r>
    </w:p>
    <w:p>
      <w:pPr>
        <w:spacing w:after="80"/>
        <w:ind w:left="360"/>
      </w:pPr>
      <w:r>
        <w:rPr>
          <w:rFonts w:ascii="Arial" w:cs="Arial" w:eastAsia="Arial" w:hAnsi="Arial"/>
          <w:sz w:val="20"/>
          <w:szCs w:val="20"/>
        </w:rPr>
        <w:t xml:space="preserve">• </w:t>
      </w:r>
      <w:r>
        <w:rPr>
          <w:rFonts w:ascii="Arial" w:cs="Arial" w:eastAsia="Arial" w:hAnsi="Arial"/>
          <w:b/>
          <w:bCs/>
          <w:sz w:val="20"/>
          <w:szCs w:val="20"/>
        </w:rPr>
        <w:t xml:space="preserve">Art. 16 Ley 58/2003 (LGT)</w:t>
      </w:r>
      <w:r>
        <w:rPr>
          <w:rFonts w:ascii="Arial" w:cs="Arial" w:eastAsia="Arial" w:hAnsi="Arial"/>
          <w:sz w:val="20"/>
          <w:szCs w:val="20"/>
        </w:rPr>
        <w:t xml:space="preserve"> — Simulación: la Administración puede recalificar actos simulados.</w:t>
      </w:r>
    </w:p>
    <w:p>
      <w:pPr>
        <w:spacing w:after="80"/>
        <w:ind w:left="360"/>
      </w:pPr>
      <w:r>
        <w:rPr>
          <w:rFonts w:ascii="Arial" w:cs="Arial" w:eastAsia="Arial" w:hAnsi="Arial"/>
          <w:sz w:val="20"/>
          <w:szCs w:val="20"/>
        </w:rPr>
        <w:t xml:space="preserve">• </w:t>
      </w:r>
      <w:r>
        <w:rPr>
          <w:rFonts w:ascii="Arial" w:cs="Arial" w:eastAsia="Arial" w:hAnsi="Arial"/>
          <w:b/>
          <w:bCs/>
          <w:sz w:val="20"/>
          <w:szCs w:val="20"/>
        </w:rPr>
        <w:t xml:space="preserve">Art. 1255 Código Civil</w:t>
      </w:r>
      <w:r>
        <w:rPr>
          <w:rFonts w:ascii="Arial" w:cs="Arial" w:eastAsia="Arial" w:hAnsi="Arial"/>
          <w:sz w:val="20"/>
          <w:szCs w:val="20"/>
        </w:rPr>
        <w:t xml:space="preserve"> — Libertad de pacto: los contratantes pueden establecer las condiciones que estimen convenientes.</w:t>
      </w:r>
    </w:p>
    <w:p>
      <w:pPr>
        <w:spacing w:after="80"/>
        <w:ind w:left="360"/>
      </w:pPr>
      <w:r>
        <w:rPr>
          <w:rFonts w:ascii="Arial" w:cs="Arial" w:eastAsia="Arial" w:hAnsi="Arial"/>
          <w:sz w:val="20"/>
          <w:szCs w:val="20"/>
        </w:rPr>
        <w:t xml:space="preserve">• </w:t>
      </w:r>
      <w:r>
        <w:rPr>
          <w:rFonts w:ascii="Arial" w:cs="Arial" w:eastAsia="Arial" w:hAnsi="Arial"/>
          <w:b/>
          <w:bCs/>
          <w:sz w:val="20"/>
          <w:szCs w:val="20"/>
        </w:rPr>
        <w:t xml:space="preserve">Consultas vinculantes DGT:</w:t>
      </w:r>
      <w:r>
        <w:rPr>
          <w:rFonts w:ascii="Arial" w:cs="Arial" w:eastAsia="Arial" w:hAnsi="Arial"/>
          <w:sz w:val="20"/>
          <w:szCs w:val="20"/>
        </w:rPr>
        <w:t xml:space="preserve"> V1069-19, V0975-22, V1948-21.</w:t>
      </w:r>
    </w:p>
    <w:p>
      <w:pPr>
        <w:spacing w:after="100"/>
      </w:pPr>
    </w:p>
    <w:tbl>
      <w:tblPr>
        <w:tblW w:type="dxa" w:w="9306"/>
        <w:tblBorders>
          <w:top w:val="single" w:color="auto" w:sz="4"/>
          <w:left w:val="single" w:color="auto" w:sz="4"/>
          <w:bottom w:val="single" w:color="auto" w:sz="4"/>
          <w:right w:val="single" w:color="auto" w:sz="4"/>
          <w:insideH w:val="single" w:color="auto" w:sz="4"/>
          <w:insideV w:val="single" w:color="auto" w:sz="4"/>
        </w:tblBorders>
      </w:tblPr>
      <w:tblGrid>
        <w:gridCol w:w="9306"/>
      </w:tblGrid>
      <w:tr>
        <w:tc>
          <w:tcPr>
            <w:tcW w:type="dxa" w:w="9306"/>
            <w:tcBorders>
              <w:top w:val="single" w:color="CC8800" w:sz="2"/>
              <w:left w:val="single" w:color="CC8800" w:sz="2"/>
              <w:bottom w:val="single" w:color="CC8800" w:sz="2"/>
              <w:right w:val="single" w:color="CC8800" w:sz="2"/>
            </w:tcBorders>
            <w:shd w:fill="FFF9E6" w:val="clear"/>
            <w:tcMar>
              <w:top w:type="dxa" w:w="120"/>
              <w:left w:type="dxa" w:w="200"/>
              <w:bottom w:type="dxa" w:w="120"/>
              <w:right w:type="dxa" w:w="200"/>
            </w:tcMar>
          </w:tcPr>
          <w:p>
            <w:pPr>
              <w:spacing w:after="60"/>
            </w:pPr>
            <w:r>
              <w:rPr>
                <w:rFonts w:ascii="Arial" w:cs="Arial" w:eastAsia="Arial" w:hAnsi="Arial"/>
                <w:b/>
                <w:bCs/>
                <w:color w:val="996600"/>
                <w:sz w:val="20"/>
                <w:szCs w:val="20"/>
              </w:rPr>
              <w:t xml:space="preserve">AVISO: </w:t>
            </w:r>
            <w:r>
              <w:rPr>
                <w:rFonts w:ascii="Arial" w:cs="Arial" w:eastAsia="Arial" w:hAnsi="Arial"/>
                <w:color w:val="333333"/>
                <w:sz w:val="20"/>
                <w:szCs w:val="20"/>
              </w:rPr>
              <w:t xml:space="preserve">Esta plantilla es un recurso orientativo elaborado por AFCripto. Cada operación tiene particularidades que pueden requerir adaptaciones sustanciales. Se recomienda su revisión por un asesor fiscal especializado antes de su utilización.</w:t>
            </w:r>
          </w:p>
        </w:tc>
      </w:tr>
    </w:tbl>
    <w:sectPr>
      <w:headerReference w:type="default" r:id="rId7"/>
      <w:footerReference w:type="default" r:id="rId8"/>
      <w:pgSz w:w="11906" w:h="16838" w:orient="portrait"/>
      <w:pgMar w:top="1440" w:right="1300" w:bottom="12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6"/>
        <w:szCs w:val="16"/>
      </w:rPr>
      <w:t xml:space="preserve">Página </w:t>
    </w:r>
    <w:r>
      <w:rPr>
        <w:rFonts w:ascii="Arial" w:cs="Arial" w:eastAsia="Arial" w:hAnsi="Arial"/>
        <w:color w:val="999999"/>
        <w:sz w:val="16"/>
        <w:szCs w:val="16"/>
      </w:rPr>
      <w:fldChar w:fldCharType="begin"/>
      <w:instrText xml:space="preserve">PAGE</w:instrText>
      <w:fldChar w:fldCharType="separate"/>
      <w:fldChar w:fldCharType="end"/>
    </w:r>
    <w:r>
      <w:rPr>
        <w:rFonts w:ascii="Arial" w:cs="Arial" w:eastAsia="Arial" w:hAnsi="Arial"/>
        <w:color w:val="999999"/>
        <w:sz w:val="16"/>
        <w:szCs w:val="16"/>
      </w:rPr>
      <w:t xml:space="preserve"> de </w:t>
    </w:r>
    <w:r>
      <w:rPr>
        <w:rFonts w:ascii="Arial" w:cs="Arial" w:eastAsia="Arial" w:hAnsi="Arial"/>
        <w:color w:val="99999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i/>
        <w:iCs/>
        <w:color w:val="999999"/>
        <w:sz w:val="16"/>
        <w:szCs w:val="16"/>
      </w:rPr>
      <w:t xml:space="preserve">CONTRATO PRIVADO DE COMPRAVENTA DE CRIPTOACTIVOS ENTRE PARTICULARES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2B579A"/>
      <w:sz w:val="28"/>
      <w:szCs w:val="28"/>
    </w:rPr>
  </w:style>
</w:styles>
</file>

<file path=word/_rels/comments.xml.rels><?xml version="1.0" encoding="UTF-8"?><Relationships xmlns="http://schemas.openxmlformats.org/package/2006/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footnotes" Target="footnote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customXml" Target="../customXml/item1.xml"/><Relationship Id="rId4" Type="http://schemas.openxmlformats.org/officeDocument/2006/relationships/endnotes" Target="endnotes.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68AF560E9534F4794D91D8F2067F752" ma:contentTypeVersion="11" ma:contentTypeDescription="Crear nuevo documento." ma:contentTypeScope="" ma:versionID="c7926960b08ac53ac5194b7c043de68d">
  <xsd:schema xmlns:xsd="http://www.w3.org/2001/XMLSchema" xmlns:xs="http://www.w3.org/2001/XMLSchema" xmlns:p="http://schemas.microsoft.com/office/2006/metadata/properties" xmlns:ns2="84f0e3c1-d647-4151-bd3a-7c0f6d2d1925" xmlns:ns3="05832cf8-a2d5-4de8-b38b-2b5caf34f4d7" targetNamespace="http://schemas.microsoft.com/office/2006/metadata/properties" ma:root="true" ma:fieldsID="ac611aac82404cec051422230070eb97" ns2:_="" ns3:_="">
    <xsd:import namespace="84f0e3c1-d647-4151-bd3a-7c0f6d2d1925"/>
    <xsd:import namespace="05832cf8-a2d5-4de8-b38b-2b5caf34f4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0e3c1-d647-4151-bd3a-7c0f6d2d19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fe5d096-192d-4b5d-b88a-37ffa9b901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832cf8-a2d5-4de8-b38b-2b5caf34f4d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f469f3-9bcb-4a1c-91b2-5a5af86cc742}" ma:internalName="TaxCatchAll" ma:showField="CatchAllData" ma:web="05832cf8-a2d5-4de8-b38b-2b5caf34f4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f0e3c1-d647-4151-bd3a-7c0f6d2d1925">
      <Terms xmlns="http://schemas.microsoft.com/office/infopath/2007/PartnerControls"/>
    </lcf76f155ced4ddcb4097134ff3c332f>
    <TaxCatchAll xmlns="05832cf8-a2d5-4de8-b38b-2b5caf34f4d7" xsi:nil="true"/>
  </documentManagement>
</p:properties>
</file>

<file path=customXml/itemProps1.xml><?xml version="1.0" encoding="utf-8"?>
<ds:datastoreItem xmlns:ds="http://schemas.openxmlformats.org/officeDocument/2006/customXml" ds:itemID="{75E65770-AA62-4743-98D9-7FED170BC3B7}"/>
</file>

<file path=customXml/itemProps2.xml><?xml version="1.0" encoding="utf-8"?>
<ds:datastoreItem xmlns:ds="http://schemas.openxmlformats.org/officeDocument/2006/customXml" ds:itemID="{7320A821-E221-4F8E-8EB4-EA2397985749}"/>
</file>

<file path=customXml/itemProps3.xml><?xml version="1.0" encoding="utf-8"?>
<ds:datastoreItem xmlns:ds="http://schemas.openxmlformats.org/officeDocument/2006/customXml" ds:itemID="{810FA3D0-F6CC-4A61-9912-0D7457CEF71F}"/>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2026-04-13T21:48:33Z</dcterms:created>
  <dcterms:modified xsi:type="dcterms:W3CDTF">2026-04-13T21:48:33Z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0x010100E68AF560E9534F4794D91D8F2067F752</vt:lpwstr>
  </property>
</Properties>
</file>